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碳抵換專案計畫（PDD）- 監測計畫、數據收集及外加性證明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本文件為碳抵換專案（以下簡稱「專案」）設計文件（PDD）的核心模組，嚴格遵循VCS（Verified Carbon Standard）標準及對應專案選用的VCS方法學要求，明確專案監測、數據收集的具體流程，以及外加性（額外性）的完整證明邏輯，確保專案減排量真實、可量化、可核查，為專案註冊、驗證及碳權核發提供依據。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一、監測計畫（Monitoring Plan, MP）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監測計畫的核心目標是系統、持續地收集專案相關數據，準確量化基線排放、專案排放、洩漏排放，確保淨減排量的可追溯性和可信度，全程符合VCS方法學及QA/QC（品質保證/品質管制）要求。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1.1 監測範圍與對象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結合專案範疇界定，明確監測覆蓋的邊界、排放源及關鍵參數，具體如下：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空間範圍：與專案邊界完全一致，涵蓋所有納入Scope 1、Scope 2（如須）的排放源，明確排除未納入的設施及排放源；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時間範圍：自專案啟動日起，至計入期結束，按年度開展監測，同步記錄基線年相關監測數據（用於對比驗證）；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監測對象：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基線監測：基線情境下的活動數據（如燃料消耗量、發電量、產量等）、排放係數相關參數；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專案監測：專案實施後，所有排放源的活動數據、排放係數參數，以及洩漏相關的潛在影響數據；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關鍵參數：根據選用的VCS方法學，明確須監測的核心參數（如燃料熱值、燃燒效率、發電量、甲烷收集率等）。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1.2 監測方法與頻率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結合專案技術類型、排放源特性，選用科學、可操作的監測方法，明確監測頻率，確保數據的代表性和連續性，具體如下表：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1650"/>
        <w:gridCol w:w="1650"/>
        <w:gridCol w:w="1650"/>
        <w:gridCol w:w="1650"/>
        <w:gridCol w:w="1650"/>
      </w:tblGrid>
      <w:tr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監測類別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監測參數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監測方法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監測頻率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負責部門/人員</w:t>
            </w:r>
          </w:p>
        </w:tc>
      </w:tr>
      <w:tr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基線監測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基線活動數據、排放係數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歷史數據查閱、行業基準調研、第三方檢測（如須）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基線年一次性監測，後續每年復核1次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專案技術部、數據統計部</w:t>
            </w:r>
          </w:p>
        </w:tc>
      </w:tr>
      <w:tr>
        <w:tc>
          <w:tcPr>
            <w:tcW w:w="1650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專案排放監測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燃料消耗量、發電量等活動數據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計量儀表（流量計、電表等）即時記錄，人工定期核對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即時監測，每日記錄，每月彙總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運營部、計量部</w:t>
            </w:r>
          </w:p>
        </w:tc>
      </w:tr>
      <w:tr>
        <w:tc>
          <w:tcPr>
            <w:tcW w:w="165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排放係數、污染物濃度等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第三方檢測機構抽樣檢測、現場在線監測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每季度1次，年度全面檢測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技術部、第三方檢測機構</w:t>
            </w:r>
          </w:p>
        </w:tc>
      </w:tr>
      <w:tr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洩漏監測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洩漏相關活動數據（如原料轉移量、運輸量等）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台帳記錄、現場核查、運輸單據核對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每月記錄，每半年核查1次</w:t>
            </w:r>
          </w:p>
        </w:tc>
        <w:tc>
          <w:tcPr>
            <w:tcW w:w="16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運營部、風控部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b w:val="true"/>
          <w:sz w:val="32"/>
        </w:rPr>
        <w:t>1.3 監測設備與校準</w:t>
      </w:r>
      <w:bookmarkEnd w:id="3"/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設備選型：選用符合國家計量標準、VCS方法學要求的監測設備（如流量計、電表、氣體分析儀等），明確設備型號、量程、精度，確保設備性能满足監測需求；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設備安裝：在關鍵排放源、活動節點合理安裝監測設備，確保監測數據的準確性和代表性，安裝位置須經第三方驗證確認；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校準與維護：建立設備校準台帳，定期對監測設備進行校準（每年至少1次），日常做好設備維護、檢修記錄，出現故障及時維修或更換，確保設備正常運行；校準記錄、維護台帳須留存，作為核查依據。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" w:id="4"/>
      <w:r>
        <w:rPr>
          <w:rFonts w:eastAsia="等线" w:ascii="Arial" w:cs="Arial" w:hAnsi="Arial"/>
          <w:b w:val="true"/>
          <w:sz w:val="32"/>
        </w:rPr>
        <w:t>1.4 監測數據管理與追溯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建立完善的監測數據管理體系，確保數據可追溯、可核查，具體要求：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數據記錄：採用電子台帳與紙質台帳雙重記錄方式，明確記錄內容（監測時間、參數、數值、記錄人、審核人等），確保記錄完整、規範，無塗改；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數據審核：建立二級審核機制，每日記錄由現場操作人員核對，每月彙總數據由技術部門審核，審核人簽字確認，確保數據準確無誤；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數據存儲：電子數據存儲在專用伺服器，定期備份（每月至少1次），紙質台帳妥善歸檔，保存期限不少於專案計入期結束後5年，確保數據可追溯；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異常處理：若監測數據出現異常（如數值突變、設備故障），立即啟動異常處理流程，記錄異常情況、原因分析、處理措施及結果，異常數據須單獨標註，經審核後再納入計算。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5" w:id="5"/>
      <w:r>
        <w:rPr>
          <w:rFonts w:eastAsia="等线" w:ascii="Arial" w:cs="Arial" w:hAnsi="Arial"/>
          <w:b w:val="true"/>
          <w:sz w:val="32"/>
        </w:rPr>
        <w:t>1.5 QA/QC要求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嚴格遵循VCS品質保證與品質管制要求，確保監測過程、數據收集的規範性：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人員要求：監測人員、審核人員須具備相應的專業能力，經培訓合格後上崗，定期開展專業技能培訓；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流程要求：制定標準化的監測操作流程（SOP），明確各環節的操作規範，確保監測過程可重複、可核查；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第三方驗證：每年度邀請VCS認可的第三方驗證機構，對監測計畫的執行情況、數據的準確性進行驗證，出具驗證報告，作為專案核查的依據。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6" w:id="6"/>
      <w:r>
        <w:rPr>
          <w:rFonts w:eastAsia="等线" w:ascii="Arial" w:cs="Arial" w:hAnsi="Arial"/>
          <w:b w:val="true"/>
          <w:sz w:val="36"/>
        </w:rPr>
        <w:t>二、數據收集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數據收集是專案減排量量化、外加性證明的基礎，須遵循「全面、準確、即時、可追溯」的原則，覆蓋基線數據、專案數據、洩漏數據及外加性證明相關數據，嚴格匹配監測計畫及VCS方法學要求。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7" w:id="7"/>
      <w:r>
        <w:rPr>
          <w:rFonts w:eastAsia="等线" w:ascii="Arial" w:cs="Arial" w:hAnsi="Arial"/>
          <w:b w:val="true"/>
          <w:sz w:val="32"/>
        </w:rPr>
        <w:t>2.1 數據收集範圍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結合專案類型及方法學要求，明確數據收集的具體範圍，確保無遺漏、無冗餘：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2.1.1 基線數據</w:t>
      </w:r>
      <w:bookmarkEnd w:id="8"/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活動數據：基線年的燃料消耗量、發電量、產量、用電量、運輸量等，來源於專案實施前的歷史台帳、行業統計數據、第三方檢測報告；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排放係數數據：基線情境下的燃料排放係數、電網排放係數等，來源於IPCC指南、區域電網排放報告、行業基準數據，確保數據來源權威、可核查；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輔助數據：基線年的產業政策、技術水準、市場環境等，用於外加性證明及基線情境合理性判斷。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2.1.2 專案數據</w:t>
      </w:r>
      <w:bookmarkEnd w:id="9"/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活動數據：專案實施後，所有納入監測範圍的活動數據（如燃料消耗量、發電量、甲烷收集量、節能總量等），來源於監測設備記錄、現場台帳、運營報表；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排放係數數據：專案情境下的燃料排放係數、處理效率等，來源於現場檢測、設備參數、第三方檢測報告；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運營數據：專案的運營時間、設備運行狀態、維護記錄等，用於驗證數據的合理性及專案實施的真實性。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0" w:id="10"/>
      <w:r>
        <w:rPr>
          <w:rFonts w:eastAsia="等线" w:ascii="Arial" w:cs="Arial" w:hAnsi="Arial"/>
          <w:b w:val="true"/>
          <w:sz w:val="30"/>
        </w:rPr>
        <w:t>2.1.3 洩漏數據</w:t>
      </w:r>
      <w:bookmarkEnd w:id="10"/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潛在洩漏源數據：如原料轉移量、廢棄物轉向量、運輸增加量等，來源於運輸台帳、原料採購記錄、現場核查記錄；</w:t>
      </w:r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洩漏量化數據：根據VCS方法學要求，收集用於洩漏計算的相關參數（如洩漏係數、活動量等），確保洩漏排放可準確量化。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2.1.4 外加性證明相關數據</w:t>
      </w:r>
      <w:bookmarkEnd w:id="11"/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財務數據：專案投資成本、運營成本、收益預測（不含碳權收益）、投資報酬率等，用於證明專案的財務可行性依賴碳權收益；</w:t>
      </w:r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技術數據：專案採用的技術類型、技術成熟度、推廣難度、前期研發投入等，用於證明專案技術具有創新性或存在技術障礙；</w:t>
      </w:r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政策數據：當地產業政策、環保法規、強制性標準等，用於證明專案非政策強制要求實施；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行業數據：同行業常規技術、常規做法、平均排放水準等，用於對比判斷專案非產業慣行。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2" w:id="12"/>
      <w:r>
        <w:rPr>
          <w:rFonts w:eastAsia="等线" w:ascii="Arial" w:cs="Arial" w:hAnsi="Arial"/>
          <w:b w:val="true"/>
          <w:sz w:val="32"/>
        </w:rPr>
        <w:t>2.2 數據收集方法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結合數據類型及來源，採用多元化的收集方法，確保數據的準確性和可核查性：</w:t>
      </w:r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台帳收集：建立專案專用台帳，由專人負責記錄日常運營數據、監測數據，定期彙總整理，確保數據連續、完整；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儀器監測：通過監測計畫中明確的計量設備、在線監測儀器，即時收集活動數據、排放數據，自動記錄並存儲，減少人工誤差；</w:t>
      </w:r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第三方檢測：對於無法通過現場監測獲取的參數（如排放係數、污染物濃度），委託VCS認可的第三方檢測機構進行抽樣檢測，出具檢測報告；</w:t>
      </w:r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資料查閱：查閱歷史台帳、行業報告、政策文件、設備說明書等，收集基線數據、輔助數據及外加性證明相關數據；</w:t>
      </w:r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現場核查：定期開展現場核查，核對監測設備運行狀態、數據記錄的真實性，補充收集現場相關數據，確保數據與實際情況一致。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3" w:id="13"/>
      <w:bookmarkEnd w:id="13"/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4" w:id="14"/>
      <w:r>
        <w:rPr>
          <w:rFonts w:eastAsia="等线" w:ascii="Arial" w:cs="Arial" w:hAnsi="Arial"/>
          <w:b w:val="true"/>
          <w:sz w:val="36"/>
        </w:rPr>
        <w:t>三、外加性證明（Additionality Proof）</w:t>
      </w:r>
      <w:bookmarkEnd w:id="1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外加性是碳抵換專案的核心要求，指專案在無碳權收益的情況下，因存在財務、技術、政策等障礙，無法自發實施，即專案的減排放效益是「額外」產生的，符合VCS標準對專案額外性的判定要求。本專案通過以下邏輯、證據，完整證明專案的外加性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5" w:id="15"/>
      <w:r>
        <w:rPr>
          <w:rFonts w:eastAsia="等线" w:ascii="Arial" w:cs="Arial" w:hAnsi="Arial"/>
          <w:b w:val="true"/>
          <w:sz w:val="32"/>
        </w:rPr>
        <w:t>3.1 外加性判定依據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嚴格遵循VCS外加性判定準則，結合專案實際情況，從以下4個維度進行判定，確保判定邏輯嚴謹、證據充分：</w:t>
      </w:r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準則1：專案非產業慣行（Common Practice）；</w:t>
      </w:r>
    </w:p>
    <w:p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準則2：專案存在財務障礙，無碳權收益時不具備財務可行性；</w:t>
      </w:r>
    </w:p>
    <w:p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準則3：專案存在技術障礙，採用的技術具有創新性或推廣難度；</w:t>
      </w:r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準則4：專案非政策強制要求實施，不屬於法定減排義務。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6" w:id="16"/>
      <w:r>
        <w:rPr>
          <w:rFonts w:eastAsia="等线" w:ascii="Arial" w:cs="Arial" w:hAnsi="Arial"/>
          <w:b w:val="true"/>
          <w:sz w:val="32"/>
        </w:rPr>
        <w:t>3.2 外加性證明具體內容</w:t>
      </w:r>
      <w:bookmarkEnd w:id="16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7" w:id="17"/>
      <w:r>
        <w:rPr>
          <w:rFonts w:eastAsia="等线" w:ascii="Arial" w:cs="Arial" w:hAnsi="Arial"/>
          <w:b w:val="true"/>
          <w:sz w:val="30"/>
        </w:rPr>
        <w:t>3.2.1 專案非產業慣行證明</w:t>
      </w:r>
      <w:bookmarkEnd w:id="1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通過行業調研、數據對比，證明本專案採用的技術、實施方式不屬於當前同行業常規做法，具體證據及邏輯：</w:t>
      </w:r>
    </w:p>
    <w:p>
      <w:pPr>
        <w:numPr>
          <w:numId w:val="3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行業現狀調研：調研專案所在行業（如再生能源、工業能效、廢棄物處理等）的常規技術、常規運營模式，收集同行業企業的相關數據（如技術應用比例、排放水準等），形成行業調研報告；</w:t>
      </w:r>
    </w:p>
    <w:p>
      <w:pPr>
        <w:numPr>
          <w:numId w:val="3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專案與行業慣行對比：將本專案的技術路線、減排方式、投資規模與同行業常規做法進行對比，明確本專案與行業慣行的差異（如採用更先進的節能技術、更高效的甲烷收集方式等）；</w:t>
      </w:r>
    </w:p>
    <w:p>
      <w:pPr>
        <w:numPr>
          <w:numId w:val="4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結論：經對比，本專案採用的技術及實施方式，在當前行業內未被廣泛應用，不屬於產業慣行，若無碳權收益，企業無動力主動實施。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8" w:id="18"/>
      <w:r>
        <w:rPr>
          <w:rFonts w:eastAsia="等线" w:ascii="Arial" w:cs="Arial" w:hAnsi="Arial"/>
          <w:b w:val="true"/>
          <w:sz w:val="30"/>
        </w:rPr>
        <w:t>3.2.2 財務障礙證明</w:t>
      </w:r>
      <w:bookmarkEnd w:id="1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通過財務分析，證明本專案在無碳權收益的情況下，存在財務障礙，不具備商業可行性，具體證據及邏輯：</w:t>
      </w:r>
    </w:p>
    <w:p>
      <w:pPr>
        <w:numPr>
          <w:numId w:val="4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財務數據收集：收集專案的投資成本（固定資產投資、流動資金）、運營成本（設備維護、人員工資、能耗等）、預期收益（不含碳權收益），編製財務測算表；</w:t>
      </w:r>
    </w:p>
    <w:p>
      <w:pPr>
        <w:numPr>
          <w:numId w:val="4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財務可行性分析：計算專案的投資報酬率（ROI）、投資回收期、淨現值（NPV）等財務指標，對比同行業常規專案的財務指標，分析無碳權收益時專案的財務狀況；</w:t>
      </w:r>
    </w:p>
    <w:p>
      <w:pPr>
        <w:numPr>
          <w:numId w:val="4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障礙說明：明確無碳權收益時，專案的投資報酬率低於行業平均水準、投資回收期過長，或淨現值為負，企業無法通過常規收益收回投資，存在明顯的財務障礙；</w:t>
      </w:r>
    </w:p>
    <w:p>
      <w:pPr>
        <w:numPr>
          <w:numId w:val="4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結論：碳權收益是專案具備財務可行性的關鍵，無碳權收益時，專案無法自發實施，證明專案具有外加性。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9" w:id="19"/>
      <w:r>
        <w:rPr>
          <w:rFonts w:eastAsia="等线" w:ascii="Arial" w:cs="Arial" w:hAnsi="Arial"/>
          <w:b w:val="true"/>
          <w:sz w:val="30"/>
        </w:rPr>
        <w:t>3.2.3 技術障礙證明</w:t>
      </w:r>
      <w:bookmarkEnd w:id="1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結合專案採用的技術類型，證明專案存在技術障礙，常規技術無法實現同等減排效果，具體證據及邏輯：</w:t>
      </w:r>
    </w:p>
    <w:p>
      <w:pPr>
        <w:numPr>
          <w:numId w:val="4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技術說明：詳細說明專案採用的核心技術、技術原理、應用場景，明確該技術的創新性、先進性（如專利技術、新型工藝等）；</w:t>
      </w:r>
    </w:p>
    <w:p>
      <w:pPr>
        <w:numPr>
          <w:numId w:val="4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技術障礙分析：分析該技術的推廣難度，如技術成熟度、設備成本、操作要求、技術人才儲備等，說明當前行業內採用該技術的企業較少的原因（如技術門檻高、前期研發投入大等）；</w:t>
      </w:r>
    </w:p>
    <w:p>
      <w:pPr>
        <w:numPr>
          <w:numId w:val="4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替代技術對比：對比常規替代技術與本專案採用技術的減排效果、成本、可行性，說明常規技術無法實現同等減排目標，或常規技術的實施成本遠高於本專案技術；</w:t>
      </w:r>
    </w:p>
    <w:p>
      <w:pPr>
        <w:numPr>
          <w:numId w:val="4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結論：本專案採用的技術存在明顯的技術障礙，若無碳權收益驅動，企業不會主動投入資金、人力採用該技術，證明專案具有外加性。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0" w:id="20"/>
      <w:r>
        <w:rPr>
          <w:rFonts w:eastAsia="等线" w:ascii="Arial" w:cs="Arial" w:hAnsi="Arial"/>
          <w:b w:val="true"/>
          <w:sz w:val="30"/>
        </w:rPr>
        <w:t>3.2.4 非政策強制證明</w:t>
      </w:r>
      <w:bookmarkEnd w:id="2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通過查閱相關政策文件，證明本專案的實施不屬於國家、地方的政策強制要求，具體證據及邏輯：</w:t>
      </w:r>
    </w:p>
    <w:p>
      <w:pPr>
        <w:numPr>
          <w:numId w:val="4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政策查閱：收集專案所在地區的環保法規、產業政策、節能減排強制性標準等相關文件，明確政策對該行業的減排要求；</w:t>
      </w:r>
    </w:p>
    <w:p>
      <w:pPr>
        <w:numPr>
          <w:numId w:val="5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政策對比：對比本專案的減排目標、技術路線與政策強制要求，說明本專案的減排效果高於政策最低要求，且專案的實施並非政策強制規定（如政策未要求採用本專案的技術，僅要求達到一定的排放水準）；</w:t>
      </w:r>
    </w:p>
    <w:p>
      <w:pPr>
        <w:numPr>
          <w:numId w:val="5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結論：本專案的實施是企業自主行為，不屬於政策強制要求，若無碳權收益，企業無須投入額外成本實現超額減排，證明專案具有外加性。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1" w:id="21"/>
      <w:r>
        <w:rPr>
          <w:rFonts w:eastAsia="等线" w:ascii="Arial" w:cs="Arial" w:hAnsi="Arial"/>
          <w:b w:val="true"/>
          <w:sz w:val="32"/>
        </w:rPr>
        <w:t>3.3 外加性證明材料清單</w:t>
      </w:r>
      <w:bookmarkEnd w:id="2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為確保外加性證明的可核查性，整理以下證明材料，作為PDD的附件，供VCS秘書處及第三方驗證機構核查：</w:t>
      </w:r>
    </w:p>
    <w:p>
      <w:pPr>
        <w:numPr>
          <w:numId w:val="5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行業調研報告（含同行業數據、技術應用情況）；</w:t>
      </w:r>
    </w:p>
    <w:p>
      <w:pPr>
        <w:numPr>
          <w:numId w:val="5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專案財務測算表（含投資成本、運營成本、收益預測等）；</w:t>
      </w:r>
    </w:p>
    <w:p>
      <w:pPr>
        <w:numPr>
          <w:numId w:val="5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技術說明文件、專利證書（如有）、第三方技術評估報告；</w:t>
      </w:r>
    </w:p>
    <w:p>
      <w:pPr>
        <w:numPr>
          <w:numId w:val="5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相關政策文件（環保法規、產業政策、強制性標準等）；</w:t>
      </w:r>
    </w:p>
    <w:p>
      <w:pPr>
        <w:numPr>
          <w:numId w:val="5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同行業企業對比分析報告；</w:t>
      </w:r>
    </w:p>
    <w:p>
      <w:pPr>
        <w:numPr>
          <w:numId w:val="5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外加性判定表（明確各判定準則的證據、結論）。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2" w:id="22"/>
      <w:r>
        <w:rPr>
          <w:rFonts w:eastAsia="等线" w:ascii="Arial" w:cs="Arial" w:hAnsi="Arial"/>
          <w:b w:val="true"/>
          <w:sz w:val="32"/>
        </w:rPr>
        <w:t>3.4 外加性更新與維護</w:t>
      </w:r>
      <w:bookmarkEnd w:id="2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專案計入期內，若行業技術水準、政策環境、市場條件發生重大變化，可能影響外加性判定，須及時更新外加性證明：</w:t>
      </w:r>
    </w:p>
    <w:p>
      <w:pPr>
        <w:numPr>
          <w:numId w:val="5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定期復核：每3年對專案的外加性進行一次復核，收集最新的行業數據、政策文件、財務數據，評估外加性是否仍然成立；</w:t>
      </w:r>
    </w:p>
    <w:p>
      <w:pPr>
        <w:numPr>
          <w:numId w:val="5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及時更新：若復核發現外加性條件發生變化（如技術成為行業慣行、政策強制要求實施等），須及時補充相關證據，重新判定外加性，或調整專案方案；</w:t>
      </w:r>
    </w:p>
    <w:p>
      <w:pPr>
        <w:numPr>
          <w:numId w:val="6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記錄留存：外加性復核記錄、更新材料須妥善留存，作為專案核查的依據。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3" w:id="23"/>
      <w:r>
        <w:rPr>
          <w:rFonts w:eastAsia="等线" w:ascii="Arial" w:cs="Arial" w:hAnsi="Arial"/>
          <w:b w:val="true"/>
          <w:sz w:val="36"/>
        </w:rPr>
        <w:t>四、驗證流程：第三方查驗單位（VVBs）審核、註冊與確證</w:t>
      </w:r>
      <w:bookmarkEnd w:id="2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本專案驗證流程嚴格遵循VCS標準要求，由VCS認可的第三方查驗單位（Verified Validation Bodies, VVBs）負責全程審核，配合VCS秘書處完成專案註冊與減排量確證，確保流程規範、結果可核查，具體流程如下：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4" w:id="24"/>
      <w:r>
        <w:rPr>
          <w:rFonts w:eastAsia="等线" w:ascii="Arial" w:cs="Arial" w:hAnsi="Arial"/>
          <w:b w:val="true"/>
          <w:sz w:val="32"/>
        </w:rPr>
        <w:t>4.1 第三方查驗單位（VVBs）選定與委託</w:t>
      </w:r>
      <w:bookmarkEnd w:id="2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專案開發機構須選用VCS官方註冊認可的第三方查驗單位（VVBs），確保其具備對本專案類型的核查資質及專業能力，具體要求：</w:t>
      </w:r>
    </w:p>
    <w:p>
      <w:pPr>
        <w:numPr>
          <w:numId w:val="6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資質審核：核實VVBs的VCS認可證書、核查範圍（須覆蓋本專案技術領域），確保其符合VCS對第三方查驗單位的資質要求；</w:t>
      </w:r>
    </w:p>
    <w:p>
      <w:pPr>
        <w:numPr>
          <w:numId w:val="6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委託流程：與選定的VVBs簽訂正式委託協議，明確審核範圍、時間節點、雙方權利義務及核查費用，協議內容須符合VCS標準相關規定；</w:t>
      </w:r>
    </w:p>
    <w:p>
      <w:pPr>
        <w:numPr>
          <w:numId w:val="6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資料提交：向VVBs提交完整的專案相關資料，包括PDD全文、監測計畫、數據台帳、外加性證明材料、第三方檢測報告等，確保資料完整、規範。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5" w:id="25"/>
      <w:r>
        <w:rPr>
          <w:rFonts w:eastAsia="等线" w:ascii="Arial" w:cs="Arial" w:hAnsi="Arial"/>
          <w:b w:val="true"/>
          <w:sz w:val="32"/>
        </w:rPr>
        <w:t>4.2 VVBs審核流程</w:t>
      </w:r>
      <w:bookmarkEnd w:id="2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VVBs按照VCS方法學及標準要求，開展全流程審核工作，分為文件審核、現場核查兩個階段，確保審核全面、客觀、公正：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6" w:id="26"/>
      <w:r>
        <w:rPr>
          <w:rFonts w:eastAsia="等线" w:ascii="Arial" w:cs="Arial" w:hAnsi="Arial"/>
          <w:b w:val="true"/>
          <w:sz w:val="30"/>
        </w:rPr>
        <w:t>4.2.1 文件審核</w:t>
      </w:r>
      <w:bookmarkEnd w:id="26"/>
    </w:p>
    <w:p>
      <w:pPr>
        <w:numPr>
          <w:numId w:val="6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審核內容：重點審核PDD完整性、監測計畫可行性、數據收集規範性、外加性證明邏輯及證據充分性，核對數據來源、計算過程的準確性，檢查是否符合選用的VCS方法學要求；</w:t>
      </w:r>
    </w:p>
    <w:p>
      <w:pPr>
        <w:numPr>
          <w:numId w:val="6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審核流程：VVBs組織專業審核團隊，對提交的所有文件進行逐項審核，記錄審核發現的問題及整改建議，形成文件審核報告；</w:t>
      </w:r>
    </w:p>
    <w:p>
      <w:pPr>
        <w:numPr>
          <w:numId w:val="6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整改反饋：專案開發機構根據文件審核報告中的整改建議，及時補充完善相關資料、修正問題，並將整改結果反饋至VVBs，直至文件審核通過。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7" w:id="27"/>
      <w:r>
        <w:rPr>
          <w:rFonts w:eastAsia="等线" w:ascii="Arial" w:cs="Arial" w:hAnsi="Arial"/>
          <w:b w:val="true"/>
          <w:sz w:val="30"/>
        </w:rPr>
        <w:t>4.2.2 現場核查</w:t>
      </w:r>
      <w:bookmarkEnd w:id="27"/>
    </w:p>
    <w:p>
      <w:pPr>
        <w:numPr>
          <w:numId w:val="6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核查計畫：VVBs根據文件審核結果，制定現場核查計畫，明確核查時間、地點、核查內容、核查人員及流程，提前通知專案開發機構；</w:t>
      </w:r>
    </w:p>
    <w:p>
      <w:pPr>
        <w:numPr>
          <w:numId w:val="6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現場核查內容：核對監測設備的安裝、運行及校準情況，驗證數據記錄的真實性、連續性，檢查專案實施情況與PDD描述的一致性，核實外加性證明材料的真實性，現場抽樣核對相關數據；</w:t>
      </w:r>
    </w:p>
    <w:p>
      <w:pPr>
        <w:numPr>
          <w:numId w:val="6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核查記錄：現場核查人員詳細記錄核查過程、核查結果，留存現場照片、設備運行記錄等佐證材料，形成現場核查工作底稿；</w:t>
      </w:r>
    </w:p>
    <w:p>
      <w:pPr>
        <w:numPr>
          <w:numId w:val="7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問題整改：現場核查中發現的問題，專案開發機構須在規定時限內完成整改，VVBs對整改結果進行復核，確認整改到位。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8" w:id="28"/>
      <w:r>
        <w:rPr>
          <w:rFonts w:eastAsia="等线" w:ascii="Arial" w:cs="Arial" w:hAnsi="Arial"/>
          <w:b w:val="true"/>
          <w:sz w:val="30"/>
        </w:rPr>
        <w:t>4.2.3 審核結論與報告出具</w:t>
      </w:r>
      <w:bookmarkEnd w:id="28"/>
    </w:p>
    <w:p>
      <w:pPr>
        <w:numPr>
          <w:numId w:val="7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綜合評估：VVBs結合文件審核、現場核查結果，對專案的合規性、數據的準確性、減排量的可量化性進行綜合評估，形成審核結論；</w:t>
      </w:r>
    </w:p>
    <w:p>
      <w:pPr>
        <w:numPr>
          <w:numId w:val="7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報告出具：審核通過後，VVBs出具正式的第三方查驗報告（Validation Report），明確審核過程、審核結果、減排量初步核算結果，並對報告的真實性、準確性負責；若審核未通過，須明確未通過原因及整改要求。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9" w:id="29"/>
      <w:r>
        <w:rPr>
          <w:rFonts w:eastAsia="等线" w:ascii="Arial" w:cs="Arial" w:hAnsi="Arial"/>
          <w:b w:val="true"/>
          <w:sz w:val="32"/>
        </w:rPr>
        <w:t>4.3 專案註冊流程</w:t>
      </w:r>
      <w:bookmarkEnd w:id="2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VVBs審核通過後，由專案開發機構向VCS秘書處提交專案註冊申請，完成專案註冊，具體流程：</w:t>
      </w:r>
    </w:p>
    <w:p>
      <w:pPr>
        <w:numPr>
          <w:numId w:val="7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註冊資料提交：向VCS秘書處提交註冊申請表、PDD全文、VVBs查驗報告、整改證明材料（如有）及其他相關附屬資料，確保資料完整、符合VCS註冊要求；</w:t>
      </w:r>
    </w:p>
    <w:p>
      <w:pPr>
        <w:numPr>
          <w:numId w:val="7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秘書處審核：VCS秘書處對提交的註冊資料進行審核，核對VVBs查驗流程的規範性、審核結果的合理性，若資料不完整或存在問題，通知專案開發機構補充整改；</w:t>
      </w:r>
    </w:p>
    <w:p>
      <w:pPr>
        <w:numPr>
          <w:numId w:val="7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註冊確認：審核通過後，VCS秘書處在官方平台發布專案註冊公告，頒發專案註冊證書，專案正式納入VCS註冊專案名錄，進入計入期。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0" w:id="30"/>
      <w:r>
        <w:rPr>
          <w:rFonts w:eastAsia="等线" w:ascii="Arial" w:cs="Arial" w:hAnsi="Arial"/>
          <w:b w:val="true"/>
          <w:sz w:val="32"/>
        </w:rPr>
        <w:t>4.4 減排量確證流程</w:t>
      </w:r>
      <w:bookmarkEnd w:id="3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專案計入期內，每年須由VVBs對專案年度減排量進行確證，確保減排量真實、可核查，具體流程：</w:t>
      </w:r>
    </w:p>
    <w:p>
      <w:pPr>
        <w:numPr>
          <w:numId w:val="7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年度數據提交：專案開發機構在每個計量年度結束後，及時整理年度監測數據、運營報告、數據核查記錄等，提交至VVBs；</w:t>
      </w:r>
    </w:p>
    <w:p>
      <w:pPr>
        <w:numPr>
          <w:numId w:val="7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年度確證審核：VVBs按照VCS標準及監測計畫要求，對年度數據進行文件審核和現場抽樣核查，核對減排量計算過程的準確性，確認洩漏核算、外加性維護等符合要求；</w:t>
      </w:r>
    </w:p>
    <w:p>
      <w:pPr>
        <w:numPr>
          <w:numId w:val="7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確證報告出具：審核通過後，VVBs出具年度減排量確證報告（Verification Report），明確年度淨減排量，提交至VCS秘書處；</w:t>
      </w:r>
    </w:p>
    <w:p>
      <w:pPr>
        <w:numPr>
          <w:numId w:val="7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碳權核發：VCS秘書處對確證報告進行審核，確認無誤後，按照確證的淨減排量，向專案開發機構核發對應數量的VCS碳權。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1" w:id="31"/>
      <w:r>
        <w:rPr>
          <w:rFonts w:eastAsia="等线" w:ascii="Arial" w:cs="Arial" w:hAnsi="Arial"/>
          <w:b w:val="true"/>
          <w:sz w:val="32"/>
        </w:rPr>
        <w:t>4.5 流程管理與資料留存</w:t>
      </w:r>
      <w:bookmarkEnd w:id="31"/>
    </w:p>
    <w:p>
      <w:pPr>
        <w:numPr>
          <w:numId w:val="8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流程記錄：專案開發機構須詳細記錄VVBs審核、專案註冊、減排量確證的全過程，包括會議記錄、整改通知、審核報告等，建立專門的流程管理台帳；</w:t>
      </w:r>
    </w:p>
    <w:p>
      <w:pPr>
        <w:numPr>
          <w:numId w:val="8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資料留存：所有審核報告、核查記錄、註冊文件、碳權核發證明等資料，須妥善留存，保存期限不少於專案計入期結束後5年，供VCS秘書處及相關機構核查；</w:t>
      </w:r>
    </w:p>
    <w:p>
      <w:pPr>
        <w:numPr>
          <w:numId w:val="8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異常處理：若在VVBs審核、註冊或確證過程中出現重大異常（如數據造假、違反VCS標準），須立即停止相關流程，及時整改，並向VCS秘書處及VVBs說明情況，承擔相應責任。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2" w:id="32"/>
      <w:r>
        <w:rPr>
          <w:rFonts w:eastAsia="等线" w:ascii="Arial" w:cs="Arial" w:hAnsi="Arial"/>
          <w:b w:val="true"/>
          <w:sz w:val="36"/>
        </w:rPr>
        <w:t>五、附則</w:t>
      </w:r>
      <w:bookmarkEnd w:id="32"/>
    </w:p>
    <w:p>
      <w:pPr>
        <w:numPr>
          <w:numId w:val="8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本模組內容嚴格遵循VCS標準及專案選用的VCS方法學要求，若方法學更新或VCS標準調整，須及時修訂本模組內容；</w:t>
      </w:r>
    </w:p>
    <w:p>
      <w:pPr>
        <w:numPr>
          <w:numId w:val="8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本模組所有數據、證明材料均須真實、可核查，若發現數據造假、證據不實，將承擔相應責任，影響專案註冊及碳權核發；</w:t>
      </w:r>
    </w:p>
    <w:p>
      <w:pPr>
        <w:numPr>
          <w:numId w:val="8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本模組由專案開發機構負責維護、更新，接受VCS秘書處、第三方驗證核查機構的監督、核查。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|（注：部分内容由豆包工作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1538009">
    <w:lvl>
      <w:numFmt w:val="bullet"/>
      <w:suff w:val="tab"/>
      <w:lvlText w:val="•"/>
      <w:rPr>
        <w:color w:val="3370ff"/>
      </w:rPr>
    </w:lvl>
  </w:abstractNum>
  <w:abstractNum w:abstractNumId="1538010">
    <w:lvl>
      <w:numFmt w:val="bullet"/>
      <w:suff w:val="tab"/>
      <w:lvlText w:val="•"/>
      <w:rPr>
        <w:color w:val="3370ff"/>
      </w:rPr>
    </w:lvl>
  </w:abstractNum>
  <w:abstractNum w:abstractNumId="1538011">
    <w:lvl>
      <w:numFmt w:val="bullet"/>
      <w:suff w:val="tab"/>
      <w:lvlText w:val="•"/>
      <w:rPr>
        <w:color w:val="3370ff"/>
      </w:rPr>
    </w:lvl>
  </w:abstractNum>
  <w:abstractNum w:abstractNumId="1538012">
    <w:lvl>
      <w:numFmt w:val="bullet"/>
      <w:suff w:val="tab"/>
      <w:lvlText w:val="•"/>
      <w:rPr>
        <w:color w:val="3370ff"/>
      </w:rPr>
    </w:lvl>
  </w:abstractNum>
  <w:abstractNum w:abstractNumId="1538013">
    <w:lvl>
      <w:numFmt w:val="bullet"/>
      <w:suff w:val="tab"/>
      <w:lvlText w:val="•"/>
      <w:rPr>
        <w:color w:val="3370ff"/>
      </w:rPr>
    </w:lvl>
  </w:abstractNum>
  <w:abstractNum w:abstractNumId="1538014">
    <w:lvl>
      <w:numFmt w:val="bullet"/>
      <w:suff w:val="tab"/>
      <w:lvlText w:val="•"/>
      <w:rPr>
        <w:color w:val="3370ff"/>
      </w:rPr>
    </w:lvl>
  </w:abstractNum>
  <w:abstractNum w:abstractNumId="1538015">
    <w:lvl>
      <w:numFmt w:val="bullet"/>
      <w:suff w:val="tab"/>
      <w:lvlText w:val="•"/>
      <w:rPr>
        <w:color w:val="3370ff"/>
      </w:rPr>
    </w:lvl>
  </w:abstractNum>
  <w:abstractNum w:abstractNumId="1538016">
    <w:lvl>
      <w:numFmt w:val="bullet"/>
      <w:suff w:val="tab"/>
      <w:lvlText w:val="•"/>
      <w:rPr>
        <w:color w:val="3370ff"/>
      </w:rPr>
    </w:lvl>
  </w:abstractNum>
  <w:abstractNum w:abstractNumId="1538017">
    <w:lvl>
      <w:numFmt w:val="bullet"/>
      <w:suff w:val="tab"/>
      <w:lvlText w:val="•"/>
      <w:rPr>
        <w:color w:val="3370ff"/>
      </w:rPr>
    </w:lvl>
  </w:abstractNum>
  <w:abstractNum w:abstractNumId="1538018">
    <w:lvl>
      <w:numFmt w:val="bullet"/>
      <w:suff w:val="tab"/>
      <w:lvlText w:val="•"/>
      <w:rPr>
        <w:color w:val="3370ff"/>
      </w:rPr>
    </w:lvl>
  </w:abstractNum>
  <w:abstractNum w:abstractNumId="1538019">
    <w:lvl>
      <w:numFmt w:val="bullet"/>
      <w:suff w:val="tab"/>
      <w:lvlText w:val="•"/>
      <w:rPr>
        <w:color w:val="3370ff"/>
      </w:rPr>
    </w:lvl>
  </w:abstractNum>
  <w:abstractNum w:abstractNumId="1538020">
    <w:lvl>
      <w:numFmt w:val="bullet"/>
      <w:suff w:val="tab"/>
      <w:lvlText w:val="•"/>
      <w:rPr>
        <w:color w:val="3370ff"/>
      </w:rPr>
    </w:lvl>
  </w:abstractNum>
  <w:abstractNum w:abstractNumId="1538021">
    <w:lvl>
      <w:numFmt w:val="bullet"/>
      <w:suff w:val="tab"/>
      <w:lvlText w:val="•"/>
      <w:rPr>
        <w:color w:val="3370ff"/>
      </w:rPr>
    </w:lvl>
  </w:abstractNum>
  <w:abstractNum w:abstractNumId="1538022">
    <w:lvl>
      <w:numFmt w:val="bullet"/>
      <w:suff w:val="tab"/>
      <w:lvlText w:val="•"/>
      <w:rPr>
        <w:color w:val="3370ff"/>
      </w:rPr>
    </w:lvl>
  </w:abstractNum>
  <w:abstractNum w:abstractNumId="1538023">
    <w:lvl>
      <w:numFmt w:val="bullet"/>
      <w:suff w:val="tab"/>
      <w:lvlText w:val="•"/>
      <w:rPr>
        <w:color w:val="3370ff"/>
      </w:rPr>
    </w:lvl>
  </w:abstractNum>
  <w:abstractNum w:abstractNumId="1538024">
    <w:lvl>
      <w:numFmt w:val="bullet"/>
      <w:suff w:val="tab"/>
      <w:lvlText w:val="•"/>
      <w:rPr>
        <w:color w:val="3370ff"/>
      </w:rPr>
    </w:lvl>
  </w:abstractNum>
  <w:abstractNum w:abstractNumId="1538025">
    <w:lvl>
      <w:numFmt w:val="bullet"/>
      <w:suff w:val="tab"/>
      <w:lvlText w:val="•"/>
      <w:rPr>
        <w:color w:val="3370ff"/>
      </w:rPr>
    </w:lvl>
  </w:abstractNum>
  <w:abstractNum w:abstractNumId="1538026">
    <w:lvl>
      <w:numFmt w:val="bullet"/>
      <w:suff w:val="tab"/>
      <w:lvlText w:val="•"/>
      <w:rPr>
        <w:color w:val="3370ff"/>
      </w:rPr>
    </w:lvl>
  </w:abstractNum>
  <w:abstractNum w:abstractNumId="1538027">
    <w:lvl>
      <w:numFmt w:val="bullet"/>
      <w:suff w:val="tab"/>
      <w:lvlText w:val="•"/>
      <w:rPr>
        <w:color w:val="3370ff"/>
      </w:rPr>
    </w:lvl>
  </w:abstractNum>
  <w:abstractNum w:abstractNumId="1538028">
    <w:lvl>
      <w:numFmt w:val="bullet"/>
      <w:suff w:val="tab"/>
      <w:lvlText w:val="•"/>
      <w:rPr>
        <w:color w:val="3370ff"/>
      </w:rPr>
    </w:lvl>
  </w:abstractNum>
  <w:abstractNum w:abstractNumId="1538029">
    <w:lvl>
      <w:numFmt w:val="bullet"/>
      <w:suff w:val="tab"/>
      <w:lvlText w:val="•"/>
      <w:rPr>
        <w:color w:val="3370ff"/>
      </w:rPr>
    </w:lvl>
  </w:abstractNum>
  <w:abstractNum w:abstractNumId="1538030">
    <w:lvl>
      <w:numFmt w:val="bullet"/>
      <w:suff w:val="tab"/>
      <w:lvlText w:val="•"/>
      <w:rPr>
        <w:color w:val="3370ff"/>
      </w:rPr>
    </w:lvl>
  </w:abstractNum>
  <w:abstractNum w:abstractNumId="1538031">
    <w:lvl>
      <w:numFmt w:val="bullet"/>
      <w:suff w:val="tab"/>
      <w:lvlText w:val="•"/>
      <w:rPr>
        <w:color w:val="3370ff"/>
      </w:rPr>
    </w:lvl>
  </w:abstractNum>
  <w:abstractNum w:abstractNumId="1538032">
    <w:lvl>
      <w:numFmt w:val="bullet"/>
      <w:suff w:val="tab"/>
      <w:lvlText w:val="•"/>
      <w:rPr>
        <w:color w:val="3370ff"/>
      </w:rPr>
    </w:lvl>
  </w:abstractNum>
  <w:abstractNum w:abstractNumId="1538033">
    <w:lvl>
      <w:numFmt w:val="bullet"/>
      <w:suff w:val="tab"/>
      <w:lvlText w:val="•"/>
      <w:rPr>
        <w:color w:val="3370ff"/>
      </w:rPr>
    </w:lvl>
  </w:abstractNum>
  <w:abstractNum w:abstractNumId="1538034">
    <w:lvl>
      <w:numFmt w:val="bullet"/>
      <w:suff w:val="tab"/>
      <w:lvlText w:val="•"/>
      <w:rPr>
        <w:color w:val="3370ff"/>
      </w:rPr>
    </w:lvl>
  </w:abstractNum>
  <w:abstractNum w:abstractNumId="1538035">
    <w:lvl>
      <w:numFmt w:val="bullet"/>
      <w:suff w:val="tab"/>
      <w:lvlText w:val="•"/>
      <w:rPr>
        <w:color w:val="3370ff"/>
      </w:rPr>
    </w:lvl>
  </w:abstractNum>
  <w:abstractNum w:abstractNumId="1538036">
    <w:lvl>
      <w:numFmt w:val="bullet"/>
      <w:suff w:val="tab"/>
      <w:lvlText w:val="•"/>
      <w:rPr>
        <w:color w:val="3370ff"/>
      </w:rPr>
    </w:lvl>
  </w:abstractNum>
  <w:abstractNum w:abstractNumId="1538037">
    <w:lvl>
      <w:numFmt w:val="bullet"/>
      <w:suff w:val="tab"/>
      <w:lvlText w:val="•"/>
      <w:rPr>
        <w:color w:val="3370ff"/>
      </w:rPr>
    </w:lvl>
  </w:abstractNum>
  <w:abstractNum w:abstractNumId="1538038">
    <w:lvl>
      <w:numFmt w:val="bullet"/>
      <w:suff w:val="tab"/>
      <w:lvlText w:val="•"/>
      <w:rPr>
        <w:color w:val="3370ff"/>
      </w:rPr>
    </w:lvl>
  </w:abstractNum>
  <w:abstractNum w:abstractNumId="1538039">
    <w:lvl>
      <w:numFmt w:val="bullet"/>
      <w:suff w:val="tab"/>
      <w:lvlText w:val="•"/>
      <w:rPr>
        <w:color w:val="3370ff"/>
      </w:rPr>
    </w:lvl>
  </w:abstractNum>
  <w:abstractNum w:abstractNumId="1538040">
    <w:lvl>
      <w:numFmt w:val="bullet"/>
      <w:suff w:val="tab"/>
      <w:lvlText w:val="•"/>
      <w:rPr>
        <w:color w:val="3370ff"/>
      </w:rPr>
    </w:lvl>
  </w:abstractNum>
  <w:abstractNum w:abstractNumId="1538041">
    <w:lvl>
      <w:numFmt w:val="bullet"/>
      <w:suff w:val="tab"/>
      <w:lvlText w:val="•"/>
      <w:rPr>
        <w:color w:val="3370ff"/>
      </w:rPr>
    </w:lvl>
  </w:abstractNum>
  <w:abstractNum w:abstractNumId="1538042">
    <w:lvl>
      <w:numFmt w:val="bullet"/>
      <w:suff w:val="tab"/>
      <w:lvlText w:val="•"/>
      <w:rPr>
        <w:color w:val="3370ff"/>
      </w:rPr>
    </w:lvl>
  </w:abstractNum>
  <w:abstractNum w:abstractNumId="1538043">
    <w:lvl>
      <w:numFmt w:val="bullet"/>
      <w:suff w:val="tab"/>
      <w:lvlText w:val="•"/>
      <w:rPr>
        <w:color w:val="3370ff"/>
      </w:rPr>
    </w:lvl>
  </w:abstractNum>
  <w:abstractNum w:abstractNumId="1538044">
    <w:lvl>
      <w:numFmt w:val="bullet"/>
      <w:suff w:val="tab"/>
      <w:lvlText w:val="•"/>
      <w:rPr>
        <w:color w:val="3370ff"/>
      </w:rPr>
    </w:lvl>
  </w:abstractNum>
  <w:abstractNum w:abstractNumId="1538045">
    <w:lvl>
      <w:numFmt w:val="bullet"/>
      <w:suff w:val="tab"/>
      <w:lvlText w:val="•"/>
      <w:rPr>
        <w:color w:val="3370ff"/>
      </w:rPr>
    </w:lvl>
  </w:abstractNum>
  <w:abstractNum w:abstractNumId="1538046">
    <w:lvl>
      <w:numFmt w:val="bullet"/>
      <w:suff w:val="tab"/>
      <w:lvlText w:val="•"/>
      <w:rPr>
        <w:color w:val="3370ff"/>
      </w:rPr>
    </w:lvl>
  </w:abstractNum>
  <w:abstractNum w:abstractNumId="1538047">
    <w:lvl>
      <w:numFmt w:val="bullet"/>
      <w:suff w:val="tab"/>
      <w:lvlText w:val="•"/>
      <w:rPr>
        <w:color w:val="3370ff"/>
      </w:rPr>
    </w:lvl>
  </w:abstractNum>
  <w:abstractNum w:abstractNumId="1538048">
    <w:lvl>
      <w:numFmt w:val="bullet"/>
      <w:suff w:val="tab"/>
      <w:lvlText w:val="•"/>
      <w:rPr>
        <w:color w:val="3370ff"/>
      </w:rPr>
    </w:lvl>
  </w:abstractNum>
  <w:abstractNum w:abstractNumId="1538049">
    <w:lvl>
      <w:numFmt w:val="bullet"/>
      <w:suff w:val="tab"/>
      <w:lvlText w:val="•"/>
      <w:rPr>
        <w:color w:val="3370ff"/>
      </w:rPr>
    </w:lvl>
  </w:abstractNum>
  <w:abstractNum w:abstractNumId="1538050">
    <w:lvl>
      <w:numFmt w:val="bullet"/>
      <w:suff w:val="tab"/>
      <w:lvlText w:val="•"/>
      <w:rPr>
        <w:color w:val="3370ff"/>
      </w:rPr>
    </w:lvl>
  </w:abstractNum>
  <w:abstractNum w:abstractNumId="1538051">
    <w:lvl>
      <w:numFmt w:val="bullet"/>
      <w:suff w:val="tab"/>
      <w:lvlText w:val="•"/>
      <w:rPr>
        <w:color w:val="3370ff"/>
      </w:rPr>
    </w:lvl>
  </w:abstractNum>
  <w:abstractNum w:abstractNumId="1538052">
    <w:lvl>
      <w:numFmt w:val="bullet"/>
      <w:suff w:val="tab"/>
      <w:lvlText w:val="•"/>
      <w:rPr>
        <w:color w:val="3370ff"/>
      </w:rPr>
    </w:lvl>
  </w:abstractNum>
  <w:abstractNum w:abstractNumId="1538053">
    <w:lvl>
      <w:numFmt w:val="bullet"/>
      <w:suff w:val="tab"/>
      <w:lvlText w:val="•"/>
      <w:rPr>
        <w:color w:val="3370ff"/>
      </w:rPr>
    </w:lvl>
  </w:abstractNum>
  <w:abstractNum w:abstractNumId="1538054">
    <w:lvl>
      <w:numFmt w:val="bullet"/>
      <w:suff w:val="tab"/>
      <w:lvlText w:val="•"/>
      <w:rPr>
        <w:color w:val="3370ff"/>
      </w:rPr>
    </w:lvl>
  </w:abstractNum>
  <w:abstractNum w:abstractNumId="1538055">
    <w:lvl>
      <w:numFmt w:val="bullet"/>
      <w:suff w:val="tab"/>
      <w:lvlText w:val="•"/>
      <w:rPr>
        <w:color w:val="3370ff"/>
      </w:rPr>
    </w:lvl>
  </w:abstractNum>
  <w:abstractNum w:abstractNumId="1538056">
    <w:lvl>
      <w:numFmt w:val="bullet"/>
      <w:suff w:val="tab"/>
      <w:lvlText w:val="•"/>
      <w:rPr>
        <w:color w:val="3370ff"/>
      </w:rPr>
    </w:lvl>
  </w:abstractNum>
  <w:abstractNum w:abstractNumId="1538057">
    <w:lvl>
      <w:numFmt w:val="bullet"/>
      <w:suff w:val="tab"/>
      <w:lvlText w:val="•"/>
      <w:rPr>
        <w:color w:val="3370ff"/>
      </w:rPr>
    </w:lvl>
  </w:abstractNum>
  <w:abstractNum w:abstractNumId="1538058">
    <w:lvl>
      <w:numFmt w:val="bullet"/>
      <w:suff w:val="tab"/>
      <w:lvlText w:val="•"/>
      <w:rPr>
        <w:color w:val="3370ff"/>
      </w:rPr>
    </w:lvl>
  </w:abstractNum>
  <w:abstractNum w:abstractNumId="1538059">
    <w:lvl>
      <w:numFmt w:val="bullet"/>
      <w:suff w:val="tab"/>
      <w:lvlText w:val="•"/>
      <w:rPr>
        <w:color w:val="3370ff"/>
      </w:rPr>
    </w:lvl>
  </w:abstractNum>
  <w:abstractNum w:abstractNumId="1538060">
    <w:lvl>
      <w:numFmt w:val="bullet"/>
      <w:suff w:val="tab"/>
      <w:lvlText w:val="•"/>
      <w:rPr>
        <w:color w:val="3370ff"/>
      </w:rPr>
    </w:lvl>
  </w:abstractNum>
  <w:abstractNum w:abstractNumId="1538061">
    <w:lvl>
      <w:numFmt w:val="bullet"/>
      <w:suff w:val="tab"/>
      <w:lvlText w:val="•"/>
      <w:rPr>
        <w:color w:val="3370ff"/>
      </w:rPr>
    </w:lvl>
  </w:abstractNum>
  <w:abstractNum w:abstractNumId="1538062">
    <w:lvl>
      <w:numFmt w:val="bullet"/>
      <w:suff w:val="tab"/>
      <w:lvlText w:val="•"/>
      <w:rPr>
        <w:color w:val="3370ff"/>
      </w:rPr>
    </w:lvl>
  </w:abstractNum>
  <w:abstractNum w:abstractNumId="1538063">
    <w:lvl>
      <w:numFmt w:val="bullet"/>
      <w:suff w:val="tab"/>
      <w:lvlText w:val="•"/>
      <w:rPr>
        <w:color w:val="3370ff"/>
      </w:rPr>
    </w:lvl>
  </w:abstractNum>
  <w:abstractNum w:abstractNumId="1538064">
    <w:lvl>
      <w:numFmt w:val="bullet"/>
      <w:suff w:val="tab"/>
      <w:lvlText w:val="•"/>
      <w:rPr>
        <w:color w:val="3370ff"/>
      </w:rPr>
    </w:lvl>
  </w:abstractNum>
  <w:abstractNum w:abstractNumId="1538065">
    <w:lvl>
      <w:numFmt w:val="bullet"/>
      <w:suff w:val="tab"/>
      <w:lvlText w:val="•"/>
      <w:rPr>
        <w:color w:val="3370ff"/>
      </w:rPr>
    </w:lvl>
  </w:abstractNum>
  <w:abstractNum w:abstractNumId="1538066">
    <w:lvl>
      <w:numFmt w:val="bullet"/>
      <w:suff w:val="tab"/>
      <w:lvlText w:val="•"/>
      <w:rPr>
        <w:color w:val="3370ff"/>
      </w:rPr>
    </w:lvl>
  </w:abstractNum>
  <w:abstractNum w:abstractNumId="1538067">
    <w:lvl>
      <w:numFmt w:val="bullet"/>
      <w:suff w:val="tab"/>
      <w:lvlText w:val="•"/>
      <w:rPr>
        <w:color w:val="3370ff"/>
      </w:rPr>
    </w:lvl>
  </w:abstractNum>
  <w:abstractNum w:abstractNumId="1538068">
    <w:lvl>
      <w:numFmt w:val="bullet"/>
      <w:suff w:val="tab"/>
      <w:lvlText w:val="•"/>
      <w:rPr>
        <w:color w:val="3370ff"/>
      </w:rPr>
    </w:lvl>
  </w:abstractNum>
  <w:abstractNum w:abstractNumId="1538069">
    <w:lvl>
      <w:numFmt w:val="bullet"/>
      <w:suff w:val="tab"/>
      <w:lvlText w:val="•"/>
      <w:rPr>
        <w:color w:val="3370ff"/>
      </w:rPr>
    </w:lvl>
  </w:abstractNum>
  <w:abstractNum w:abstractNumId="1538070">
    <w:lvl>
      <w:numFmt w:val="bullet"/>
      <w:suff w:val="tab"/>
      <w:lvlText w:val="•"/>
      <w:rPr>
        <w:color w:val="3370ff"/>
      </w:rPr>
    </w:lvl>
  </w:abstractNum>
  <w:abstractNum w:abstractNumId="1538071">
    <w:lvl>
      <w:numFmt w:val="bullet"/>
      <w:suff w:val="tab"/>
      <w:lvlText w:val="•"/>
      <w:rPr>
        <w:color w:val="3370ff"/>
      </w:rPr>
    </w:lvl>
  </w:abstractNum>
  <w:abstractNum w:abstractNumId="1538072">
    <w:lvl>
      <w:numFmt w:val="bullet"/>
      <w:suff w:val="tab"/>
      <w:lvlText w:val="•"/>
      <w:rPr>
        <w:color w:val="3370ff"/>
      </w:rPr>
    </w:lvl>
  </w:abstractNum>
  <w:abstractNum w:abstractNumId="1538073">
    <w:lvl>
      <w:numFmt w:val="bullet"/>
      <w:suff w:val="tab"/>
      <w:lvlText w:val="•"/>
      <w:rPr>
        <w:color w:val="3370ff"/>
      </w:rPr>
    </w:lvl>
  </w:abstractNum>
  <w:abstractNum w:abstractNumId="1538074">
    <w:lvl>
      <w:numFmt w:val="bullet"/>
      <w:suff w:val="tab"/>
      <w:lvlText w:val="•"/>
      <w:rPr>
        <w:color w:val="3370ff"/>
      </w:rPr>
    </w:lvl>
  </w:abstractNum>
  <w:abstractNum w:abstractNumId="1538075">
    <w:lvl>
      <w:numFmt w:val="bullet"/>
      <w:suff w:val="tab"/>
      <w:lvlText w:val="•"/>
      <w:rPr>
        <w:color w:val="3370ff"/>
      </w:rPr>
    </w:lvl>
  </w:abstractNum>
  <w:abstractNum w:abstractNumId="1538076">
    <w:lvl>
      <w:numFmt w:val="bullet"/>
      <w:suff w:val="tab"/>
      <w:lvlText w:val="•"/>
      <w:rPr>
        <w:color w:val="3370ff"/>
      </w:rPr>
    </w:lvl>
  </w:abstractNum>
  <w:abstractNum w:abstractNumId="1538077">
    <w:lvl>
      <w:numFmt w:val="bullet"/>
      <w:suff w:val="tab"/>
      <w:lvlText w:val="•"/>
      <w:rPr>
        <w:color w:val="3370ff"/>
      </w:rPr>
    </w:lvl>
  </w:abstractNum>
  <w:abstractNum w:abstractNumId="1538078">
    <w:lvl>
      <w:numFmt w:val="bullet"/>
      <w:suff w:val="tab"/>
      <w:lvlText w:val="•"/>
      <w:rPr>
        <w:color w:val="3370ff"/>
      </w:rPr>
    </w:lvl>
  </w:abstractNum>
  <w:abstractNum w:abstractNumId="1538079">
    <w:lvl>
      <w:numFmt w:val="bullet"/>
      <w:suff w:val="tab"/>
      <w:lvlText w:val="•"/>
      <w:rPr>
        <w:color w:val="3370ff"/>
      </w:rPr>
    </w:lvl>
  </w:abstractNum>
  <w:abstractNum w:abstractNumId="1538080">
    <w:lvl>
      <w:numFmt w:val="bullet"/>
      <w:suff w:val="tab"/>
      <w:lvlText w:val="•"/>
      <w:rPr>
        <w:color w:val="3370ff"/>
      </w:rPr>
    </w:lvl>
  </w:abstractNum>
  <w:abstractNum w:abstractNumId="1538081">
    <w:lvl>
      <w:numFmt w:val="bullet"/>
      <w:suff w:val="tab"/>
      <w:lvlText w:val="•"/>
      <w:rPr>
        <w:color w:val="3370ff"/>
      </w:rPr>
    </w:lvl>
  </w:abstractNum>
  <w:abstractNum w:abstractNumId="1538082">
    <w:lvl>
      <w:numFmt w:val="bullet"/>
      <w:suff w:val="tab"/>
      <w:lvlText w:val="•"/>
      <w:rPr>
        <w:color w:val="3370ff"/>
      </w:rPr>
    </w:lvl>
  </w:abstractNum>
  <w:abstractNum w:abstractNumId="1538083">
    <w:lvl>
      <w:numFmt w:val="bullet"/>
      <w:suff w:val="tab"/>
      <w:lvlText w:val="•"/>
      <w:rPr>
        <w:color w:val="3370ff"/>
      </w:rPr>
    </w:lvl>
  </w:abstractNum>
  <w:abstractNum w:abstractNumId="1538084">
    <w:lvl>
      <w:numFmt w:val="bullet"/>
      <w:suff w:val="tab"/>
      <w:lvlText w:val="•"/>
      <w:rPr>
        <w:color w:val="3370ff"/>
      </w:rPr>
    </w:lvl>
  </w:abstractNum>
  <w:abstractNum w:abstractNumId="1538085">
    <w:lvl>
      <w:numFmt w:val="bullet"/>
      <w:suff w:val="tab"/>
      <w:lvlText w:val="•"/>
      <w:rPr>
        <w:color w:val="3370ff"/>
      </w:rPr>
    </w:lvl>
  </w:abstractNum>
  <w:abstractNum w:abstractNumId="1538086">
    <w:lvl>
      <w:numFmt w:val="bullet"/>
      <w:suff w:val="tab"/>
      <w:lvlText w:val="•"/>
      <w:rPr>
        <w:color w:val="3370ff"/>
      </w:rPr>
    </w:lvl>
  </w:abstractNum>
  <w:abstractNum w:abstractNumId="1538087">
    <w:lvl>
      <w:numFmt w:val="bullet"/>
      <w:suff w:val="tab"/>
      <w:lvlText w:val="•"/>
      <w:rPr>
        <w:color w:val="3370ff"/>
      </w:rPr>
    </w:lvl>
  </w:abstractNum>
  <w:abstractNum w:abstractNumId="1538088">
    <w:lvl>
      <w:numFmt w:val="bullet"/>
      <w:suff w:val="tab"/>
      <w:lvlText w:val="•"/>
      <w:rPr>
        <w:color w:val="3370ff"/>
      </w:rPr>
    </w:lvl>
  </w:abstractNum>
  <w:abstractNum w:abstractNumId="1538089">
    <w:lvl>
      <w:numFmt w:val="bullet"/>
      <w:suff w:val="tab"/>
      <w:lvlText w:val="•"/>
      <w:rPr>
        <w:color w:val="3370ff"/>
      </w:rPr>
    </w:lvl>
  </w:abstractNum>
  <w:abstractNum w:abstractNumId="1538090">
    <w:lvl>
      <w:numFmt w:val="bullet"/>
      <w:suff w:val="tab"/>
      <w:lvlText w:val="•"/>
      <w:rPr>
        <w:color w:val="3370ff"/>
      </w:rPr>
    </w:lvl>
  </w:abstractNum>
  <w:abstractNum w:abstractNumId="1538091">
    <w:lvl>
      <w:numFmt w:val="bullet"/>
      <w:suff w:val="tab"/>
      <w:lvlText w:val="•"/>
      <w:rPr>
        <w:color w:val="3370ff"/>
      </w:rPr>
    </w:lvl>
  </w:abstractNum>
  <w:abstractNum w:abstractNumId="1538092">
    <w:lvl>
      <w:numFmt w:val="bullet"/>
      <w:suff w:val="tab"/>
      <w:lvlText w:val="•"/>
      <w:rPr>
        <w:color w:val="3370ff"/>
      </w:rPr>
    </w:lvl>
  </w:abstractNum>
  <w:abstractNum w:abstractNumId="1538093">
    <w:lvl>
      <w:numFmt w:val="bullet"/>
      <w:suff w:val="tab"/>
      <w:lvlText w:val="•"/>
      <w:rPr>
        <w:color w:val="3370ff"/>
      </w:rPr>
    </w:lvl>
  </w:abstractNum>
  <w:num w:numId="1">
    <w:abstractNumId w:val="1538009"/>
  </w:num>
  <w:num w:numId="2">
    <w:abstractNumId w:val="1538010"/>
  </w:num>
  <w:num w:numId="3">
    <w:abstractNumId w:val="1538011"/>
  </w:num>
  <w:num w:numId="4">
    <w:abstractNumId w:val="1538012"/>
  </w:num>
  <w:num w:numId="5">
    <w:abstractNumId w:val="1538013"/>
  </w:num>
  <w:num w:numId="6">
    <w:abstractNumId w:val="1538014"/>
  </w:num>
  <w:num w:numId="7">
    <w:abstractNumId w:val="1538015"/>
  </w:num>
  <w:num w:numId="8">
    <w:abstractNumId w:val="1538016"/>
  </w:num>
  <w:num w:numId="9">
    <w:abstractNumId w:val="1538017"/>
  </w:num>
  <w:num w:numId="10">
    <w:abstractNumId w:val="1538018"/>
  </w:num>
  <w:num w:numId="11">
    <w:abstractNumId w:val="1538019"/>
  </w:num>
  <w:num w:numId="12">
    <w:abstractNumId w:val="1538020"/>
  </w:num>
  <w:num w:numId="13">
    <w:abstractNumId w:val="1538021"/>
  </w:num>
  <w:num w:numId="14">
    <w:abstractNumId w:val="1538022"/>
  </w:num>
  <w:num w:numId="15">
    <w:abstractNumId w:val="1538023"/>
  </w:num>
  <w:num w:numId="16">
    <w:abstractNumId w:val="1538024"/>
  </w:num>
  <w:num w:numId="17">
    <w:abstractNumId w:val="1538025"/>
  </w:num>
  <w:num w:numId="18">
    <w:abstractNumId w:val="1538026"/>
  </w:num>
  <w:num w:numId="19">
    <w:abstractNumId w:val="1538027"/>
  </w:num>
  <w:num w:numId="20">
    <w:abstractNumId w:val="1538028"/>
  </w:num>
  <w:num w:numId="21">
    <w:abstractNumId w:val="1538029"/>
  </w:num>
  <w:num w:numId="22">
    <w:abstractNumId w:val="1538030"/>
  </w:num>
  <w:num w:numId="23">
    <w:abstractNumId w:val="1538031"/>
  </w:num>
  <w:num w:numId="24">
    <w:abstractNumId w:val="1538032"/>
  </w:num>
  <w:num w:numId="25">
    <w:abstractNumId w:val="1538033"/>
  </w:num>
  <w:num w:numId="26">
    <w:abstractNumId w:val="1538034"/>
  </w:num>
  <w:num w:numId="27">
    <w:abstractNumId w:val="1538035"/>
  </w:num>
  <w:num w:numId="28">
    <w:abstractNumId w:val="1538036"/>
  </w:num>
  <w:num w:numId="29">
    <w:abstractNumId w:val="1538037"/>
  </w:num>
  <w:num w:numId="30">
    <w:abstractNumId w:val="1538038"/>
  </w:num>
  <w:num w:numId="31">
    <w:abstractNumId w:val="1538039"/>
  </w:num>
  <w:num w:numId="32">
    <w:abstractNumId w:val="1538040"/>
  </w:num>
  <w:num w:numId="33">
    <w:abstractNumId w:val="1538041"/>
  </w:num>
  <w:num w:numId="34">
    <w:abstractNumId w:val="1538042"/>
  </w:num>
  <w:num w:numId="35">
    <w:abstractNumId w:val="1538043"/>
  </w:num>
  <w:num w:numId="36">
    <w:abstractNumId w:val="1538044"/>
  </w:num>
  <w:num w:numId="37">
    <w:abstractNumId w:val="1538045"/>
  </w:num>
  <w:num w:numId="38">
    <w:abstractNumId w:val="1538046"/>
  </w:num>
  <w:num w:numId="39">
    <w:abstractNumId w:val="1538047"/>
  </w:num>
  <w:num w:numId="40">
    <w:abstractNumId w:val="1538048"/>
  </w:num>
  <w:num w:numId="41">
    <w:abstractNumId w:val="1538049"/>
  </w:num>
  <w:num w:numId="42">
    <w:abstractNumId w:val="1538050"/>
  </w:num>
  <w:num w:numId="43">
    <w:abstractNumId w:val="1538051"/>
  </w:num>
  <w:num w:numId="44">
    <w:abstractNumId w:val="1538052"/>
  </w:num>
  <w:num w:numId="45">
    <w:abstractNumId w:val="1538053"/>
  </w:num>
  <w:num w:numId="46">
    <w:abstractNumId w:val="1538054"/>
  </w:num>
  <w:num w:numId="47">
    <w:abstractNumId w:val="1538055"/>
  </w:num>
  <w:num w:numId="48">
    <w:abstractNumId w:val="1538056"/>
  </w:num>
  <w:num w:numId="49">
    <w:abstractNumId w:val="1538057"/>
  </w:num>
  <w:num w:numId="50">
    <w:abstractNumId w:val="1538058"/>
  </w:num>
  <w:num w:numId="51">
    <w:abstractNumId w:val="1538059"/>
  </w:num>
  <w:num w:numId="52">
    <w:abstractNumId w:val="1538060"/>
  </w:num>
  <w:num w:numId="53">
    <w:abstractNumId w:val="1538061"/>
  </w:num>
  <w:num w:numId="54">
    <w:abstractNumId w:val="1538062"/>
  </w:num>
  <w:num w:numId="55">
    <w:abstractNumId w:val="1538063"/>
  </w:num>
  <w:num w:numId="56">
    <w:abstractNumId w:val="1538064"/>
  </w:num>
  <w:num w:numId="57">
    <w:abstractNumId w:val="1538065"/>
  </w:num>
  <w:num w:numId="58">
    <w:abstractNumId w:val="1538066"/>
  </w:num>
  <w:num w:numId="59">
    <w:abstractNumId w:val="1538067"/>
  </w:num>
  <w:num w:numId="60">
    <w:abstractNumId w:val="1538068"/>
  </w:num>
  <w:num w:numId="61">
    <w:abstractNumId w:val="1538069"/>
  </w:num>
  <w:num w:numId="62">
    <w:abstractNumId w:val="1538070"/>
  </w:num>
  <w:num w:numId="63">
    <w:abstractNumId w:val="1538071"/>
  </w:num>
  <w:num w:numId="64">
    <w:abstractNumId w:val="1538072"/>
  </w:num>
  <w:num w:numId="65">
    <w:abstractNumId w:val="1538073"/>
  </w:num>
  <w:num w:numId="66">
    <w:abstractNumId w:val="1538074"/>
  </w:num>
  <w:num w:numId="67">
    <w:abstractNumId w:val="1538075"/>
  </w:num>
  <w:num w:numId="68">
    <w:abstractNumId w:val="1538076"/>
  </w:num>
  <w:num w:numId="69">
    <w:abstractNumId w:val="1538077"/>
  </w:num>
  <w:num w:numId="70">
    <w:abstractNumId w:val="1538078"/>
  </w:num>
  <w:num w:numId="71">
    <w:abstractNumId w:val="1538079"/>
  </w:num>
  <w:num w:numId="72">
    <w:abstractNumId w:val="1538080"/>
  </w:num>
  <w:num w:numId="73">
    <w:abstractNumId w:val="1538081"/>
  </w:num>
  <w:num w:numId="74">
    <w:abstractNumId w:val="1538082"/>
  </w:num>
  <w:num w:numId="75">
    <w:abstractNumId w:val="1538083"/>
  </w:num>
  <w:num w:numId="76">
    <w:abstractNumId w:val="1538084"/>
  </w:num>
  <w:num w:numId="77">
    <w:abstractNumId w:val="1538085"/>
  </w:num>
  <w:num w:numId="78">
    <w:abstractNumId w:val="1538086"/>
  </w:num>
  <w:num w:numId="79">
    <w:abstractNumId w:val="1538087"/>
  </w:num>
  <w:num w:numId="80">
    <w:abstractNumId w:val="1538088"/>
  </w:num>
  <w:num w:numId="81">
    <w:abstractNumId w:val="1538089"/>
  </w:num>
  <w:num w:numId="82">
    <w:abstractNumId w:val="1538090"/>
  </w:num>
  <w:num w:numId="83">
    <w:abstractNumId w:val="1538091"/>
  </w:num>
  <w:num w:numId="84">
    <w:abstractNumId w:val="1538092"/>
  </w:num>
  <w:num w:numId="85">
    <w:abstractNumId w:val="1538093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2026-10-07T14:00:51Z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{"Label":"1","ContentProducer":"001191110102MACQD9K64010000","ProduceID":"7693925551149862086","ReservedCode1":"","ContentPropagator":"","PropagateID":"","ReservedCode2":""}</vt:lpwstr>
  </property>
</Properties>
</file>